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407B8" w14:textId="01F5F401" w:rsidR="00D46D71" w:rsidRPr="002A1A55" w:rsidRDefault="0093665F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</w:pP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The </w:t>
      </w:r>
      <w:r w:rsidR="008A6D0F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g</w:t>
      </w: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overnment has committed to improving the regulatory environment for craft brewers and artisan distillers</w:t>
      </w:r>
      <w:r w:rsidR="00D46D71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 to support industry development and cut red tape. </w:t>
      </w:r>
    </w:p>
    <w:p w14:paraId="33F45A41" w14:textId="6017CD31" w:rsidR="00D22D4B" w:rsidRPr="002A1A55" w:rsidRDefault="00D46D71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</w:pP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Before COVID-19, the artisan liquor industry in Queensland was a growth sector. The pandemic has highlighted </w:t>
      </w:r>
      <w:r w:rsidR="008A6D0F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the</w:t>
      </w:r>
      <w:r w:rsidR="008A6D0F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need for reforms to support craft brewers and artisan distillers throughout the </w:t>
      </w:r>
      <w:r w:rsidR="008A6D0F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s</w:t>
      </w:r>
      <w:r w:rsidR="008A6D0F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tate</w:t>
      </w: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. </w:t>
      </w:r>
    </w:p>
    <w:p w14:paraId="05024C96" w14:textId="319386F0" w:rsidR="00D22D4B" w:rsidRPr="002A1A55" w:rsidRDefault="006C4F5C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/>
          <w:color w:val="000000" w:themeColor="text1"/>
          <w:sz w:val="22"/>
          <w:szCs w:val="22"/>
          <w:lang w:eastAsia="en-US"/>
        </w:rPr>
        <w:t>A</w:t>
      </w:r>
      <w:r w:rsidR="00D22D4B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single licence category for craft brewers and artisan distillers</w:t>
      </w:r>
      <w:r w:rsidR="003B0895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has been developed to </w:t>
      </w:r>
      <w:r w:rsidR="00D22D4B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strengthen the artisan liquor sector </w:t>
      </w:r>
      <w:r w:rsidR="67FD6483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while continuing to</w:t>
      </w:r>
      <w:r w:rsidR="003B0895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ensure licensees </w:t>
      </w:r>
      <w:r w:rsidR="00D22D4B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are</w:t>
      </w:r>
      <w:r w:rsidR="002A1EEB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s</w:t>
      </w:r>
      <w:r w:rsidR="00D22D4B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ubject to harm-minimisation obligations under the </w:t>
      </w:r>
      <w:r w:rsidR="00D22D4B" w:rsidRPr="002A1A55">
        <w:rPr>
          <w:rFonts w:ascii="Arial" w:eastAsia="Calibri" w:hAnsi="Arial"/>
          <w:i/>
          <w:iCs/>
          <w:color w:val="000000" w:themeColor="text1"/>
          <w:sz w:val="22"/>
          <w:szCs w:val="22"/>
          <w:lang w:eastAsia="en-US"/>
        </w:rPr>
        <w:t>Liquor Act 1992</w:t>
      </w:r>
      <w:r w:rsidR="00193E49">
        <w:rPr>
          <w:rFonts w:ascii="Arial" w:eastAsia="Calibri" w:hAnsi="Arial"/>
          <w:i/>
          <w:iCs/>
          <w:color w:val="000000" w:themeColor="text1"/>
          <w:sz w:val="22"/>
          <w:szCs w:val="22"/>
          <w:lang w:eastAsia="en-US"/>
        </w:rPr>
        <w:t>.</w:t>
      </w:r>
      <w:r w:rsidR="00D22D4B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</w:t>
      </w:r>
    </w:p>
    <w:p w14:paraId="18A078E8" w14:textId="6954210A" w:rsidR="002D0CAE" w:rsidRPr="002A1A55" w:rsidRDefault="00522759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color w:val="000000" w:themeColor="text1"/>
          <w:sz w:val="22"/>
          <w:szCs w:val="22"/>
          <w:lang w:eastAsia="en-US"/>
        </w:rPr>
      </w:pPr>
      <w:r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The Liquor (Artisan Liquor) Amendment Bill 2020 </w:t>
      </w:r>
      <w:r w:rsidR="0084079D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(the Bill) </w:t>
      </w:r>
      <w:r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introduce</w:t>
      </w:r>
      <w:r w:rsidR="006C4F5C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s</w:t>
      </w:r>
      <w:r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a </w:t>
      </w:r>
      <w:r w:rsidR="0084079D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new type of </w:t>
      </w:r>
      <w:r w:rsidR="008A6D0F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‘</w:t>
      </w:r>
      <w:r w:rsidR="0084079D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commercial other</w:t>
      </w:r>
      <w:r w:rsidR="008A6D0F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’</w:t>
      </w:r>
      <w:r w:rsidR="0084079D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licence </w:t>
      </w:r>
      <w:r w:rsidR="00193E49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known as </w:t>
      </w:r>
      <w:r w:rsidR="00BB04BC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the artisan </w:t>
      </w:r>
      <w:r w:rsidR="00D46D71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producer</w:t>
      </w:r>
      <w:r w:rsidR="00BB04BC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licence</w:t>
      </w:r>
      <w:r w:rsidR="0084079D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.</w:t>
      </w:r>
      <w:r w:rsidR="008A6D0F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</w:t>
      </w:r>
      <w:r w:rsidR="0084079D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The</w:t>
      </w:r>
      <w:r w:rsidR="004A3438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authorisations under the artisan </w:t>
      </w:r>
      <w:r w:rsidR="646772C2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producer</w:t>
      </w:r>
      <w:r w:rsidR="004A3438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licence will</w:t>
      </w:r>
      <w:r w:rsidR="00BA7E75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support the optimum development of the Queensland craft brewing and artisan distilling industries. </w:t>
      </w:r>
      <w:r w:rsidR="00620B00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This assist</w:t>
      </w:r>
      <w:r w:rsidR="006C4F5C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s</w:t>
      </w:r>
      <w:r w:rsidR="00620B00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</w:t>
      </w:r>
      <w:r w:rsidR="00724DB4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the </w:t>
      </w:r>
      <w:r w:rsidR="009E18FF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>sector</w:t>
      </w:r>
      <w:r w:rsidR="00724DB4"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to recover from the impacts of COVID-19. </w:t>
      </w:r>
    </w:p>
    <w:p w14:paraId="2F0DC35A" w14:textId="53201E2A" w:rsidR="00D30ADA" w:rsidRPr="002A1A55" w:rsidRDefault="0018133D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</w:pP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Maximum p</w:t>
      </w:r>
      <w:r w:rsidR="001B773B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roduction volume limits and </w:t>
      </w: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a requirement for the business to be independently owned will ensure the </w:t>
      </w:r>
      <w:r w:rsidR="001B773B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concessions under the artisan </w:t>
      </w: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producer </w:t>
      </w:r>
      <w:r w:rsidR="001B773B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licence benefit Queensland businesses which produce genuine artisan products. </w:t>
      </w:r>
    </w:p>
    <w:p w14:paraId="1D30B308" w14:textId="4A141A41" w:rsidR="00EF6399" w:rsidRPr="002A1A55" w:rsidRDefault="00BA7E75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</w:pPr>
      <w:r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The Bill also makes amendments to the existing producer/wholesaler licence </w:t>
      </w:r>
      <w:r w:rsidR="00EF6399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to </w:t>
      </w:r>
      <w:r w:rsidR="00056799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provide </w:t>
      </w:r>
      <w:r w:rsidR="008F61DA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market access opportunities to </w:t>
      </w:r>
      <w:r w:rsidR="00EF6399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craft brewers and artisan distillers wh</w:t>
      </w:r>
      <w:r w:rsidR="00E560D6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o </w:t>
      </w:r>
      <w:r w:rsidR="00D77A16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>continue to operate under that licence</w:t>
      </w:r>
      <w:r w:rsidR="006A0C35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 type. </w:t>
      </w:r>
      <w:r w:rsidR="001E112E" w:rsidRPr="002A1A55">
        <w:rPr>
          <w:rFonts w:ascii="Arial" w:eastAsia="Calibri" w:hAnsi="Arial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7D14B36A" w14:textId="5946A126" w:rsidR="00CC0595" w:rsidRPr="002A1A55" w:rsidRDefault="00CC0595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eastAsia="Calibri" w:hAnsi="Arial"/>
          <w:color w:val="000000" w:themeColor="text1"/>
          <w:sz w:val="22"/>
          <w:szCs w:val="22"/>
          <w:lang w:eastAsia="en-US"/>
        </w:rPr>
      </w:pPr>
      <w:r w:rsidRPr="002A1A55">
        <w:rPr>
          <w:rFonts w:ascii="Arial" w:eastAsia="Calibri" w:hAnsi="Arial"/>
          <w:color w:val="000000" w:themeColor="text1"/>
          <w:sz w:val="22"/>
          <w:szCs w:val="22"/>
          <w:u w:val="single"/>
          <w:lang w:eastAsia="en-US"/>
        </w:rPr>
        <w:t>Cabinet approved</w:t>
      </w:r>
      <w:r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 the introduction of the </w:t>
      </w:r>
      <w:r w:rsidR="003E38E2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Liquor (Artisan Liquor) Amendment </w:t>
      </w:r>
      <w:r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Bill </w:t>
      </w:r>
      <w:r w:rsidR="003E38E2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2020 </w:t>
      </w:r>
      <w:r w:rsidRPr="002A1A55">
        <w:rPr>
          <w:rFonts w:ascii="Arial" w:eastAsia="Calibri" w:hAnsi="Arial"/>
          <w:color w:val="000000" w:themeColor="text1"/>
          <w:sz w:val="22"/>
          <w:szCs w:val="22"/>
          <w:lang w:eastAsia="en-US"/>
        </w:rPr>
        <w:t xml:space="preserve">into the Legislative Assembly. </w:t>
      </w:r>
    </w:p>
    <w:p w14:paraId="2C380F1F" w14:textId="286259B2" w:rsidR="0084079D" w:rsidRPr="002A1A55" w:rsidRDefault="0084079D" w:rsidP="00C1503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 w:hanging="357"/>
        <w:jc w:val="both"/>
        <w:rPr>
          <w:rFonts w:ascii="Arial" w:eastAsia="Calibri" w:hAnsi="Arial"/>
          <w:bCs/>
          <w:color w:val="000000" w:themeColor="text1"/>
          <w:sz w:val="22"/>
          <w:szCs w:val="22"/>
          <w:u w:val="single"/>
          <w:lang w:eastAsia="en-US"/>
        </w:rPr>
      </w:pPr>
      <w:r w:rsidRPr="003E38E2">
        <w:rPr>
          <w:rFonts w:ascii="Arial" w:eastAsia="Calibri" w:hAnsi="Arial"/>
          <w:bCs/>
          <w:i/>
          <w:color w:val="000000" w:themeColor="text1"/>
          <w:sz w:val="22"/>
          <w:szCs w:val="22"/>
          <w:u w:val="single"/>
          <w:lang w:eastAsia="en-US"/>
        </w:rPr>
        <w:t>Attachments</w:t>
      </w:r>
    </w:p>
    <w:p w14:paraId="6C3F35C7" w14:textId="29500BB7" w:rsidR="00150590" w:rsidRPr="002A1A55" w:rsidRDefault="00F07E18" w:rsidP="00C1503E">
      <w:pPr>
        <w:pStyle w:val="ListParagraph"/>
        <w:numPr>
          <w:ilvl w:val="0"/>
          <w:numId w:val="6"/>
        </w:numPr>
        <w:spacing w:before="120"/>
        <w:ind w:hanging="357"/>
        <w:contextualSpacing w:val="0"/>
        <w:jc w:val="both"/>
        <w:rPr>
          <w:rFonts w:ascii="Arial" w:eastAsia="Calibri" w:hAnsi="Arial"/>
          <w:bCs/>
          <w:color w:val="000000" w:themeColor="text1"/>
          <w:sz w:val="22"/>
          <w:szCs w:val="22"/>
          <w:u w:val="single"/>
          <w:lang w:eastAsia="en-US"/>
        </w:rPr>
      </w:pPr>
      <w:hyperlink r:id="rId10" w:history="1">
        <w:r w:rsidR="00150590" w:rsidRPr="00F465B3">
          <w:rPr>
            <w:rStyle w:val="Hyperlink"/>
            <w:rFonts w:ascii="Arial" w:eastAsia="Calibri" w:hAnsi="Arial"/>
            <w:bCs/>
            <w:sz w:val="22"/>
            <w:szCs w:val="22"/>
            <w:lang w:eastAsia="en-US"/>
          </w:rPr>
          <w:t>Liquor</w:t>
        </w:r>
        <w:r w:rsidR="008A6D0F" w:rsidRPr="00F465B3">
          <w:rPr>
            <w:rStyle w:val="Hyperlink"/>
            <w:rFonts w:ascii="Arial" w:eastAsia="Calibri" w:hAnsi="Arial"/>
            <w:bCs/>
            <w:sz w:val="22"/>
            <w:szCs w:val="22"/>
            <w:lang w:eastAsia="en-US"/>
          </w:rPr>
          <w:t xml:space="preserve"> </w:t>
        </w:r>
        <w:r w:rsidR="00E7693D" w:rsidRPr="00F465B3">
          <w:rPr>
            <w:rStyle w:val="Hyperlink"/>
            <w:rFonts w:ascii="Arial" w:eastAsia="Calibri" w:hAnsi="Arial"/>
            <w:bCs/>
            <w:sz w:val="22"/>
            <w:szCs w:val="22"/>
            <w:lang w:eastAsia="en-US"/>
          </w:rPr>
          <w:t>(Artisan Liquor) Amendment Bill 2020</w:t>
        </w:r>
      </w:hyperlink>
    </w:p>
    <w:p w14:paraId="7F0201E9" w14:textId="57C6CFE1" w:rsidR="0073203C" w:rsidRPr="002A1A55" w:rsidRDefault="00F07E18" w:rsidP="00C1503E">
      <w:pPr>
        <w:pStyle w:val="ListParagraph"/>
        <w:numPr>
          <w:ilvl w:val="0"/>
          <w:numId w:val="6"/>
        </w:numPr>
        <w:spacing w:before="120"/>
        <w:ind w:hanging="357"/>
        <w:contextualSpacing w:val="0"/>
        <w:jc w:val="both"/>
        <w:rPr>
          <w:rFonts w:ascii="Arial" w:eastAsia="Calibri" w:hAnsi="Arial"/>
          <w:bCs/>
          <w:color w:val="000000" w:themeColor="text1"/>
          <w:sz w:val="22"/>
          <w:szCs w:val="22"/>
          <w:u w:val="single"/>
          <w:lang w:eastAsia="en-US"/>
        </w:rPr>
      </w:pPr>
      <w:hyperlink r:id="rId11" w:history="1">
        <w:r w:rsidR="00F93C97" w:rsidRPr="00F465B3">
          <w:rPr>
            <w:rStyle w:val="Hyperlink"/>
            <w:rFonts w:ascii="Arial" w:eastAsia="Calibri" w:hAnsi="Arial"/>
            <w:bCs/>
            <w:sz w:val="22"/>
            <w:szCs w:val="22"/>
            <w:lang w:eastAsia="en-US"/>
          </w:rPr>
          <w:t>Explanatory Notes</w:t>
        </w:r>
      </w:hyperlink>
    </w:p>
    <w:p w14:paraId="5E937E34" w14:textId="41F2D333" w:rsidR="00257721" w:rsidRPr="003E38E2" w:rsidRDefault="00F07E18" w:rsidP="00C1503E">
      <w:pPr>
        <w:pStyle w:val="ListParagraph"/>
        <w:numPr>
          <w:ilvl w:val="0"/>
          <w:numId w:val="6"/>
        </w:numPr>
        <w:spacing w:before="120"/>
        <w:ind w:hanging="357"/>
        <w:contextualSpacing w:val="0"/>
        <w:jc w:val="both"/>
        <w:rPr>
          <w:rFonts w:ascii="Arial" w:eastAsia="Calibri" w:hAnsi="Arial"/>
          <w:color w:val="000000" w:themeColor="text1"/>
          <w:sz w:val="22"/>
          <w:szCs w:val="22"/>
          <w:lang w:eastAsia="en-US"/>
        </w:rPr>
      </w:pPr>
      <w:hyperlink r:id="rId12" w:history="1">
        <w:r w:rsidR="00F93C97" w:rsidRPr="00F465B3">
          <w:rPr>
            <w:rStyle w:val="Hyperlink"/>
            <w:rFonts w:ascii="Arial" w:eastAsia="Calibri" w:hAnsi="Arial"/>
            <w:sz w:val="22"/>
            <w:szCs w:val="22"/>
            <w:lang w:eastAsia="en-US"/>
          </w:rPr>
          <w:t xml:space="preserve">Statement of </w:t>
        </w:r>
        <w:r w:rsidR="008A6D0F" w:rsidRPr="00F465B3">
          <w:rPr>
            <w:rStyle w:val="Hyperlink"/>
            <w:rFonts w:ascii="Arial" w:eastAsia="Calibri" w:hAnsi="Arial"/>
            <w:sz w:val="22"/>
            <w:szCs w:val="22"/>
            <w:lang w:eastAsia="en-US"/>
          </w:rPr>
          <w:t>C</w:t>
        </w:r>
        <w:r w:rsidR="00F93C97" w:rsidRPr="00F465B3">
          <w:rPr>
            <w:rStyle w:val="Hyperlink"/>
            <w:rFonts w:ascii="Arial" w:eastAsia="Calibri" w:hAnsi="Arial"/>
            <w:sz w:val="22"/>
            <w:szCs w:val="22"/>
            <w:lang w:eastAsia="en-US"/>
          </w:rPr>
          <w:t xml:space="preserve">ompatibility with the </w:t>
        </w:r>
        <w:r w:rsidR="00F93C97" w:rsidRPr="00F465B3">
          <w:rPr>
            <w:rStyle w:val="Hyperlink"/>
            <w:rFonts w:ascii="Arial" w:eastAsia="Calibri" w:hAnsi="Arial"/>
            <w:i/>
            <w:iCs/>
            <w:sz w:val="22"/>
            <w:szCs w:val="22"/>
            <w:lang w:eastAsia="en-US"/>
          </w:rPr>
          <w:t>Human Rights Act 2019</w:t>
        </w:r>
      </w:hyperlink>
      <w:r w:rsidR="0073203C" w:rsidRPr="002A1A55">
        <w:rPr>
          <w:rFonts w:ascii="Arial" w:eastAsia="Calibri" w:hAnsi="Arial"/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sectPr w:rsidR="00257721" w:rsidRPr="003E38E2" w:rsidSect="005612CC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D8862" w14:textId="77777777" w:rsidR="00D93D06" w:rsidRDefault="00D93D06" w:rsidP="00F94013">
      <w:r>
        <w:separator/>
      </w:r>
    </w:p>
  </w:endnote>
  <w:endnote w:type="continuationSeparator" w:id="0">
    <w:p w14:paraId="4A7BDBBF" w14:textId="77777777" w:rsidR="00D93D06" w:rsidRDefault="00D93D06" w:rsidP="00F9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582DF" w14:textId="77777777" w:rsidR="00D93D06" w:rsidRDefault="00D93D06" w:rsidP="00F94013">
      <w:r>
        <w:separator/>
      </w:r>
    </w:p>
  </w:footnote>
  <w:footnote w:type="continuationSeparator" w:id="0">
    <w:p w14:paraId="7BC32E3A" w14:textId="77777777" w:rsidR="00D93D06" w:rsidRDefault="00D93D06" w:rsidP="00F9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D6EA" w14:textId="77777777" w:rsidR="006466F7" w:rsidRPr="00937A4A" w:rsidRDefault="00D30ADA" w:rsidP="006466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A5197FD" w14:textId="77777777" w:rsidR="006466F7" w:rsidRPr="00937A4A" w:rsidRDefault="00F07E18" w:rsidP="006466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7409B9B" w14:textId="6366A9DE" w:rsidR="006466F7" w:rsidRPr="00BD6C2E" w:rsidRDefault="00D30ADA" w:rsidP="006466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BD6C2E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E38E2">
      <w:rPr>
        <w:rFonts w:ascii="Arial" w:hAnsi="Arial" w:cs="Arial"/>
        <w:b/>
        <w:color w:val="auto"/>
        <w:sz w:val="22"/>
        <w:szCs w:val="22"/>
        <w:lang w:eastAsia="en-US"/>
      </w:rPr>
      <w:t xml:space="preserve">September </w:t>
    </w:r>
    <w:r w:rsidRPr="00BD6C2E">
      <w:rPr>
        <w:rFonts w:ascii="Arial" w:hAnsi="Arial" w:cs="Arial"/>
        <w:b/>
        <w:color w:val="auto"/>
        <w:sz w:val="22"/>
        <w:szCs w:val="22"/>
        <w:lang w:eastAsia="en-US"/>
      </w:rPr>
      <w:t>2020</w:t>
    </w:r>
  </w:p>
  <w:p w14:paraId="249E42DB" w14:textId="5D1C89A5" w:rsidR="006466F7" w:rsidRPr="000915E4" w:rsidRDefault="00D30ADA" w:rsidP="006466F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A1A55">
      <w:rPr>
        <w:rFonts w:ascii="Arial" w:hAnsi="Arial" w:cs="Arial"/>
        <w:b/>
        <w:sz w:val="22"/>
        <w:szCs w:val="22"/>
        <w:u w:val="single"/>
      </w:rPr>
      <w:t>Liquor</w:t>
    </w:r>
    <w:r w:rsidR="005E28EC" w:rsidRPr="002A1A55">
      <w:rPr>
        <w:rFonts w:ascii="Arial" w:hAnsi="Arial" w:cs="Arial"/>
        <w:b/>
        <w:sz w:val="22"/>
        <w:szCs w:val="22"/>
        <w:u w:val="single"/>
      </w:rPr>
      <w:t xml:space="preserve"> (Artisan Liquor) Amendment Bill </w:t>
    </w:r>
    <w:r w:rsidRPr="002A1A55">
      <w:rPr>
        <w:rFonts w:ascii="Arial" w:hAnsi="Arial" w:cs="Arial"/>
        <w:b/>
        <w:sz w:val="22"/>
        <w:szCs w:val="22"/>
        <w:u w:val="single"/>
      </w:rPr>
      <w:t>2020</w:t>
    </w:r>
  </w:p>
  <w:p w14:paraId="66779237" w14:textId="02435D64" w:rsidR="006466F7" w:rsidRDefault="00F94013" w:rsidP="006466F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Regional Development and Manufacturing</w:t>
    </w:r>
  </w:p>
  <w:p w14:paraId="6D6273EE" w14:textId="127D79BB" w:rsidR="003E6C8E" w:rsidRPr="000915E4" w:rsidRDefault="003E6C8E" w:rsidP="00C1503E">
    <w:pPr>
      <w:keepNext/>
      <w:rPr>
        <w:rFonts w:ascii="Arial" w:hAnsi="Arial" w:cs="Arial"/>
        <w:b/>
        <w:sz w:val="22"/>
        <w:szCs w:val="22"/>
        <w:u w:val="single"/>
      </w:rPr>
    </w:pPr>
    <w:r w:rsidRPr="00EA3462">
      <w:rPr>
        <w:rFonts w:ascii="Arial" w:hAnsi="Arial" w:cs="Arial"/>
        <w:b/>
        <w:bCs/>
        <w:sz w:val="22"/>
        <w:szCs w:val="22"/>
        <w:u w:val="single"/>
      </w:rPr>
      <w:t>Minister for Employment and Small Business and Minister for Training and Skills Development</w:t>
    </w:r>
  </w:p>
  <w:p w14:paraId="14312CD6" w14:textId="77777777" w:rsidR="00CB1501" w:rsidRDefault="00F07E1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B5D"/>
    <w:multiLevelType w:val="hybridMultilevel"/>
    <w:tmpl w:val="3654C114"/>
    <w:lvl w:ilvl="0" w:tplc="34ECC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33E"/>
    <w:multiLevelType w:val="hybridMultilevel"/>
    <w:tmpl w:val="384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7285"/>
    <w:multiLevelType w:val="hybridMultilevel"/>
    <w:tmpl w:val="AE126A74"/>
    <w:lvl w:ilvl="0" w:tplc="69F2EE0A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67F4"/>
    <w:multiLevelType w:val="hybridMultilevel"/>
    <w:tmpl w:val="6C00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C72FA"/>
    <w:multiLevelType w:val="hybridMultilevel"/>
    <w:tmpl w:val="B6F801C0"/>
    <w:lvl w:ilvl="0" w:tplc="873EEB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13"/>
    <w:rsid w:val="00056799"/>
    <w:rsid w:val="000A0511"/>
    <w:rsid w:val="000C4762"/>
    <w:rsid w:val="000D3358"/>
    <w:rsid w:val="000F1311"/>
    <w:rsid w:val="00117E31"/>
    <w:rsid w:val="00150590"/>
    <w:rsid w:val="00163834"/>
    <w:rsid w:val="00176DC9"/>
    <w:rsid w:val="0018133D"/>
    <w:rsid w:val="0018788B"/>
    <w:rsid w:val="00193E49"/>
    <w:rsid w:val="001B773B"/>
    <w:rsid w:val="001E112E"/>
    <w:rsid w:val="00216BB0"/>
    <w:rsid w:val="00257721"/>
    <w:rsid w:val="002A1A55"/>
    <w:rsid w:val="002A1EEB"/>
    <w:rsid w:val="002D0CAE"/>
    <w:rsid w:val="002E3837"/>
    <w:rsid w:val="002F69E0"/>
    <w:rsid w:val="00344B80"/>
    <w:rsid w:val="003B0895"/>
    <w:rsid w:val="003E38E2"/>
    <w:rsid w:val="003E6C8E"/>
    <w:rsid w:val="00434265"/>
    <w:rsid w:val="00463547"/>
    <w:rsid w:val="004A3438"/>
    <w:rsid w:val="004C6E3F"/>
    <w:rsid w:val="004D6C30"/>
    <w:rsid w:val="00522759"/>
    <w:rsid w:val="005248B3"/>
    <w:rsid w:val="005612CC"/>
    <w:rsid w:val="005B4D11"/>
    <w:rsid w:val="005E28EC"/>
    <w:rsid w:val="00620B00"/>
    <w:rsid w:val="00626EC4"/>
    <w:rsid w:val="00671E55"/>
    <w:rsid w:val="00694B6B"/>
    <w:rsid w:val="006A0C35"/>
    <w:rsid w:val="006C1D08"/>
    <w:rsid w:val="006C4F5C"/>
    <w:rsid w:val="006F3FC9"/>
    <w:rsid w:val="006F66A4"/>
    <w:rsid w:val="00724DB4"/>
    <w:rsid w:val="0073203C"/>
    <w:rsid w:val="00734F09"/>
    <w:rsid w:val="007D707A"/>
    <w:rsid w:val="0084079D"/>
    <w:rsid w:val="008A6D0F"/>
    <w:rsid w:val="008B6E5E"/>
    <w:rsid w:val="008F61DA"/>
    <w:rsid w:val="00915D24"/>
    <w:rsid w:val="0093665F"/>
    <w:rsid w:val="00974E76"/>
    <w:rsid w:val="009A674A"/>
    <w:rsid w:val="009E18FF"/>
    <w:rsid w:val="00BA3512"/>
    <w:rsid w:val="00BA7E75"/>
    <w:rsid w:val="00BB04BC"/>
    <w:rsid w:val="00BC03ED"/>
    <w:rsid w:val="00C1503E"/>
    <w:rsid w:val="00C62D0C"/>
    <w:rsid w:val="00CC0595"/>
    <w:rsid w:val="00D22D4B"/>
    <w:rsid w:val="00D30ADA"/>
    <w:rsid w:val="00D468BB"/>
    <w:rsid w:val="00D46D71"/>
    <w:rsid w:val="00D77A16"/>
    <w:rsid w:val="00D93D06"/>
    <w:rsid w:val="00DC5D36"/>
    <w:rsid w:val="00E1025F"/>
    <w:rsid w:val="00E560D6"/>
    <w:rsid w:val="00E7693D"/>
    <w:rsid w:val="00E82CD4"/>
    <w:rsid w:val="00E904EB"/>
    <w:rsid w:val="00EA3462"/>
    <w:rsid w:val="00EA5774"/>
    <w:rsid w:val="00EC40D3"/>
    <w:rsid w:val="00EE02FD"/>
    <w:rsid w:val="00EF6399"/>
    <w:rsid w:val="00F07E18"/>
    <w:rsid w:val="00F465B3"/>
    <w:rsid w:val="00F93C97"/>
    <w:rsid w:val="00F94013"/>
    <w:rsid w:val="00FA584E"/>
    <w:rsid w:val="00FD625B"/>
    <w:rsid w:val="1F99571D"/>
    <w:rsid w:val="34A33A0F"/>
    <w:rsid w:val="5EDE4644"/>
    <w:rsid w:val="646772C2"/>
    <w:rsid w:val="67FD6483"/>
    <w:rsid w:val="718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8F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013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940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4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013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normaltextrun">
    <w:name w:val="normaltextrun"/>
    <w:basedOn w:val="DefaultParagraphFont"/>
    <w:rsid w:val="00D22D4B"/>
  </w:style>
  <w:style w:type="paragraph" w:styleId="BalloonText">
    <w:name w:val="Balloon Text"/>
    <w:basedOn w:val="Normal"/>
    <w:link w:val="BalloonTextChar"/>
    <w:uiPriority w:val="99"/>
    <w:semiHidden/>
    <w:unhideWhenUsed/>
    <w:rsid w:val="003E6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8E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F46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D0177-72EE-4E32-9A55-04B9D735A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C5EEF-35DA-49E1-AB9E-60DFD316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DFB36-1374-4151-BC7D-455C3F17B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1429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>https://www.cabinet.qld.gov.au/documents/2020/Sep/ArtLiqBill/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2020-11-27T05:08:00Z</cp:lastPrinted>
  <dcterms:created xsi:type="dcterms:W3CDTF">2020-11-27T04:58:00Z</dcterms:created>
  <dcterms:modified xsi:type="dcterms:W3CDTF">2021-03-09T02:32:00Z</dcterms:modified>
  <cp:category>Legislation,Liquor,Industry_Development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